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s</w:t>
      </w:r>
      <w:r>
        <w:rPr>
          <w:rFonts w:hint="eastAsia"/>
          <w:color w:val="auto"/>
          <w:sz w:val="30"/>
          <w:lang w:val="en-US" w:eastAsia="zh-CN"/>
        </w:rPr>
        <w:t>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报名截止时间：2023年08月08日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2023年08月04日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X0803-01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吹雾管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心外科手术，配合心脏固定器使用。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（组织，痰液）样本预处理试剂，宿主剔除试剂，裂解微珠试剂，核酸提取试剂，反转录试剂，建库试剂，测序试剂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（组织，痰液）样本预处理试剂，宿主剔除试剂，裂解微珠试剂，核酸提取试剂，反转录试剂，建库试剂，测序试剂。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1.可检测项目包含儿茶酚胺及儿茶酚胺代谢产物（多巴胺、肾上腺素、去甲肾上腺素、甲氧基肾上腺素 、甲氧基去甲肾上腺素、3-甲氧酪胺、高香草酸、香草扁桃酸）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2.准确度：最低检测限以外的各浓度点的相对标准偏差%（RSD%）应不大于±15%。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3：校准品赋值的计量学可溯源至一级标准物质，提供相关证明文件。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1.可检测项目需包含醛固酮、血管紧张素Ⅰ（孵育前）、血管紧张素Ⅰ（孵育后）、肾素活性、脱氧皮质酮、醛固酮/肾素活性、皮质醇、可的松、皮质醇/可的松。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2：每个待测物的标准曲线≥5个点，覆盖的浓度范围满足临床标本检测要求，线性相关系数r＞0.99。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1.可检测项目需包含睾酮、雄烯二酮、硫酸脱氢表雄酮、17a羟孕酮、皮质醇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2.每个待测物的标准曲线≥5个点，覆盖的浓度范围满足临床标本检测要求，线性相关系数r＞0.99。            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3.校准品赋值的计量学可溯源至一级标准物质，提供相关证明文件。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同型半胱氨酸样本释放剂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前处理操作无需氮吹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2.每针进样可同时分析同型半胱氨酸、半胱氨酸以及甲硫氨酸 ，内标法定量。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CD34-PE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1.适用于BD、贝克曼流式细胞分析平台                 2.检测抗原CD34-PE。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程序性死亡蛋白-1检测试剂盒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1.适用于具有APC、FITC、PerCP-Cy5.5、和PE通道的贝克曼、BD流式细胞仪，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2.检测 PD-1 在总 T 淋巴细胞、辅助性 T 淋巴细胞及细胞毒性 T 淋巴 细胞上的表达率及质量；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3.时间要求：实验时间＜2 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J0803-08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血小板功能检测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试剂（流式细胞仪法）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1.适用于贝克曼、BD流式细胞仪                      2.检测抗原及通道：CD45（PE-CY7）、CD42a(FITC)、CD42b(APC)、CD62P(PE)、CD61(APC-CY7)、CD41(Percp)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2.批内精密度：CD62P+细胞相对计数结果应符合：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a.阳性百分比大于等于 30%时，CV 值应不大于 8%；或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b.阳性百分比小于 30%时，CV 值应不大于 15%。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3.配套专用一次性真空采血管，专用于血小板活化项目。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4.所有指标可以一管完成检测。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J0803-09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人β淀粉样蛋白/人磷酸化p-tau-181检测试剂盒（荧光免疫层析法）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1.检测方法为免疫层析法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2.人β淀粉样蛋白（Aβ1-42）线性范围30-500评pg/ml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3.人磷酸化p-tau-181线性范围5-100pg/ml 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4.试剂盒含质控品。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J0803-10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免疫球蛋白游离轻链试剂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1.适用仪器贝克曼IMMAGE800特定蛋白分析仪。2.样本要求：血清。3.试剂盒内含校准品和质控品。包含：Kappa型游离轻链定量测和Lambda型游离轻链定量测定。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III型前胶原蛋白N端肽（胶乳增强免疫比浊法）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1.适用于贝克曼AU5800生化分析仪；2.检测方法为胶乳增强免疫比浊法，线性范围5-90ng/ml，CV小于3%;3.试剂盒提供校准品与质控品。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弧菌培养基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培养基琼脂厚度3.5-4.5mm，PH值8.4-8.8，多规格可选（直径7cm、9cm、9cm分隔）。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丙型肝炎病毒核心抗原检测试剂盒（酶联免疫法）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1.与HBsAg 、HBeAg 、抗TP、抗HIV、TORCH无交叉反应。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2.灵敏度5pg/ml 精密度CV(%)≤15%。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脂肪酶检测试剂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1.国家卫健委临检中心室间质评单独分组。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2.配套质控品校准品。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3.产品适用于贝克曼AU5800生化分析仪。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呼吸道合胞病毒抗原检测试剂（胶体金法）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1.可检出呼吸道合胞病毒A型和B型。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2.与流感病毒、腺病毒、肺炎衣原体无交叉反应。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肺炎支原体抗原检测（胶体金法）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1.可检出肺炎支原体抗原                            2.与流感病毒、腺病毒、呼吸道合胞病毒、肺炎衣原体无交叉反应。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肺炎链球菌抗原检测（胶体金法）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1.适用于尿液样本。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2.与甲型链球菌、肺炎支原体、呼吸道合胞病毒、肺炎克雷伯菌、金黄色葡萄球菌无交叉反应。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J0803-18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嗜肺军团菌抗体检测试剂（胶体金法）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1.检测血清样本中嗜肺军团菌IgG抗体。                 2.与肺炎链球菌、肺炎支原体、肺炎克雷伯菌、金黄色葡萄球菌无交叉反应。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J0803-19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侵袭性真菌核酸检测试剂（PCR法）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1.适用于ABI7500、Q5PCR仪。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2.多联检，至少包含念珠菌、曲霉菌属、新型隐球菌。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J0803-20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人类SLCO1B1和基因检测试剂盒（PCR-荧光探针法）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1.SLCO1B1基因检测至少包含SLCO1B1*1b 388A&gt;G,SLCO1B1*5 521T&gt;C位点,APoE基因检测至少包含APOE2 526C&gt;T,APOE4 388T&gt;C位点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2.1ng样本中能准确检测出对应基因型；检测结果Ct值变异系数CV≤5%。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3.试剂盒包含内参。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4.具有三类体外诊断试剂注册证。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细胞因子测定12项（含：IFN-，IL-17，IL-6,IL-2,TNFQ,IL-4,IL-8,IL-5,IL-12P70,IFN-Y,IL-10,IL-1B.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1.适用于贝克曼、BD流式细胞仪。                    2.为单项单独试剂。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3.重复性：CV≤10%  线性范围：2.5～5000pg/mL。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4.包含：IFN-γ、IL-2、、IL-4、IL-6、IL-10、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IL-17、TNF-α、IL-1β、IL-5、IL-8、IL-12p70、IFN-α。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血清胱抑素C检测试剂（胶乳免疫比浊法）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1.国家临检中心室间质评有单独分组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2.适用于贝克曼AU5800生化分析仪；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3.检测方法为胶乳免疫比浊法；CV＜5%、批间差＜10%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4.在检测值0.4-8.0mg/L内线性相关系数＞0.990。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结核分枝杆菌符合群核酸检测试剂（PCR荧光探针法）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1.应至少包括包括结核分枝杆菌、牛结核分枝杆菌、非洲分枝杆菌和田鼠分枝杆菌。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2.包装规格20、48、单人份可选。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3.适用设备ABI7500，适用样本类型痰液、肺泡灌洗液。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4.灵敏度可达 1 个菌/mL。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5.有配套阴阳性质控品。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显微镜载玻片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1.适用于贝克曼全自动推片染色机 DXH SMS。用于血细胞推片显微镜检查；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2.抛光边，白色涂装，规格：25.5*75.5mm，厚度：1mm-1.2mm。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凝血七项非定值质控品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1.适用ACLTOP750和CP3000凝血设备。2.2~8℃开瓶稳定期长达72小时。3.包含凝血四项及ATIII、D-二聚体和FDP。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微生物接种笔（可更换笔头）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1.适用于梅里埃微生物鉴定质谱仪靶板 。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2.接种笔头可拆卸更换，包装规格96笔头/盒。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单道可调移液器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加样误差小，品质高。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0.5-10ul增量0.01ul 10-100ul增量0.1ul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20-200ul增量0.2ul  100-1000ul增量1ul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以下为第二次征集：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21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92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N0724-01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一次性自毁型注射笔用针头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进行胰岛素等需要皮下注射的药物注射使用30g*5mm，笔用一次性自毁型安全针头，患者端和医护端双重保护功能，针头自动回弹。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N0724-02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笔式胰岛素注射器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用于注射胰岛素。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胸普外科修复膜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用于心外科手术中心脏及血管软组织修补，牛心包。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不可吸收缝合线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缝合血管专用缝线，血液不外渗，心脏瓣膜修复手术中腱索重建。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皮下植入式心律转复除颤器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用于自动检测心脏电活动并提供除颤治疗，可转复除颤室速室颤等恶性心律失常事件，预防心脏性猝死的发生。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OTW球囊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Marsha11静脉酒精消融治疗房颤。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X0724-05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植入心电事件监测器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用于记录皮下心电图，自动激活植入式检测系统，适应于有临床症状或状况，处于心律失常风险增加状态的患者，经历过短暂性症状，可能有心律失常的患者。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X0724-06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药物洗脱冠状支架系统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用于经皮腔内冠状动脉成形术。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1.连续正弦波技术，实现卓越顺应性。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2.圆形支架丝，器械通过顺滑，减少支架丝剐蹭。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3.铂铱合金内芯，增强显影性提高定位准确度。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4.型号齐全，过度扩张后能持续结构完整。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一次性可吸收钉皮内吻合器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适用于腹部，肩颈部，胸部手术皮内缝合</w:t>
            </w: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可吸收，最终能被组织吸收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能够缝合2</w:t>
            </w:r>
            <w:r>
              <w:rPr>
                <w:rFonts w:hint="default" w:ascii="宋体" w:hAnsi="宋体"/>
                <w:color w:val="000000"/>
                <w:sz w:val="22"/>
                <w:szCs w:val="22"/>
              </w:rPr>
              <w:t>1cm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以内的手术切口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初始张力≥6</w:t>
            </w:r>
            <w:r>
              <w:rPr>
                <w:rFonts w:hint="default" w:ascii="宋体" w:hAnsi="宋体"/>
                <w:color w:val="000000"/>
                <w:sz w:val="22"/>
                <w:szCs w:val="22"/>
              </w:rPr>
              <w:t>.67N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。7天后保留≥</w:t>
            </w:r>
            <w:r>
              <w:rPr>
                <w:rFonts w:hint="default" w:ascii="宋体" w:hAnsi="宋体"/>
                <w:color w:val="000000"/>
                <w:sz w:val="22"/>
                <w:szCs w:val="22"/>
              </w:rPr>
              <w:t>40%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，满足皮肤创口愈合张力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器械包括吻合器本身和一次性可吸收钉两部分，能形成间断式缝合，有利于伤口渗液自然排出。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医用冰垫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药物导入结合穴位按摩，治疗良性乳腺疾病，适配设备：低频电子脉冲红外治疗仪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品牌：北京中科亿康科技有限公司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型号：WH290-I。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穴位压力刺激贴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配套低频电子脉冲红外治疗仪设备使用，在治疗部位贴敷，治疗乳腺良性疾病。品牌：北京中科亿康科技有限公司，型号：WH290-I。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P0724-06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腔镜手术用带密封鞘取物袋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与内窥镜配套使用，对人体组织进行穿刺并建立腹腔通道，收集人体组织标本/异物并取出。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P0724-07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镍钛记忆合金非吸收缝线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适用于人体软组织的缝合</w:t>
            </w: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.无疤痕美容缝合线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2.“S”缝合简单，无需打结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3.无磁性，拆线简单、无疼痛感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生物相容性好，不会造成二次损伤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5.直径由0.07到0.20，长度280mm-400mm。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S0724-1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样本萃取液（红细胞叶酸）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检测红细胞内叶酸代谢谱，适用于美国Waters TQ-S micro设备，检测人血液红细胞内叶酸及其代谢物。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S0724-2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样本萃取液（氨基酸类）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检测血清氨基酸使用，适用于美国Waters TQ-S micro设备，检测人血清中各种氨基酸使用。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S0724-3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膜型血浆成分分离器、配套使用管路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用于血液单采分离治疗离治疗高脂血症，单克隆免疫球蛋白分离及其他适应症治疗，适配Spectra Optia血液分离设备。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G0724-02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刨削系统（钻石型刀头）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钻石形刀头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  <w:t>、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球形切割刀头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  <w:t>、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可偏转钻石形刀头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。适配：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1.设备名称：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刨削系统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2.生产厂家：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  <w:t>J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oimax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  <w:t xml:space="preserve"> G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mbh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3.型号：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  <w:t>JSDC250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G0724-03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多孔型金属骨植入材料椎体假体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1.用于颈椎及胸腰椎椎体置换手术植入。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规格型号齐全，各种角度齐全，可根据特殊患者病损情况及术者需求在特殊领域制作3D打印特殊定制化产品。</w:t>
            </w:r>
            <w:r>
              <w:rPr>
                <w:rFonts w:hint="eastAsia" w:ascii="宋体"/>
                <w:color w:val="000000"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G0724-04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多孔型金属骨植入材料椎间融合器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jc w:val="both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/>
                <w:color w:val="000000"/>
                <w:sz w:val="22"/>
                <w:szCs w:val="22"/>
              </w:rPr>
              <w:t>用于颈椎及胸腰椎手术植入。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规格型号齐全，各种角度齐全，可根据特殊患者病损情况及术者需求在特殊领域制作3D打印特殊定制化产品。</w:t>
            </w:r>
          </w:p>
        </w:tc>
      </w:tr>
    </w:tbl>
    <w:p>
      <w:pPr>
        <w:spacing w:line="42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EE6EA"/>
    <w:multiLevelType w:val="singleLevel"/>
    <w:tmpl w:val="530EE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E05C53"/>
    <w:rsid w:val="050F5EDB"/>
    <w:rsid w:val="05820C6C"/>
    <w:rsid w:val="05974C44"/>
    <w:rsid w:val="06844750"/>
    <w:rsid w:val="072F54F3"/>
    <w:rsid w:val="07CD02C0"/>
    <w:rsid w:val="08242A95"/>
    <w:rsid w:val="083E4D1A"/>
    <w:rsid w:val="08564759"/>
    <w:rsid w:val="08DD0238"/>
    <w:rsid w:val="09465165"/>
    <w:rsid w:val="09DC6848"/>
    <w:rsid w:val="0AD160CF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E52151F"/>
    <w:rsid w:val="0F1D7D7F"/>
    <w:rsid w:val="0F5A60C1"/>
    <w:rsid w:val="0F6E6B7C"/>
    <w:rsid w:val="0FC81CD8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F2DB5"/>
    <w:rsid w:val="1B34092A"/>
    <w:rsid w:val="1B3E06A6"/>
    <w:rsid w:val="1B4346C9"/>
    <w:rsid w:val="1CC406E9"/>
    <w:rsid w:val="1DCE1031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0D55DBE"/>
    <w:rsid w:val="211F7071"/>
    <w:rsid w:val="21676C37"/>
    <w:rsid w:val="21821B57"/>
    <w:rsid w:val="21C33634"/>
    <w:rsid w:val="21E74A43"/>
    <w:rsid w:val="21FF5741"/>
    <w:rsid w:val="2204406F"/>
    <w:rsid w:val="221217FD"/>
    <w:rsid w:val="224B2C26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1F22C5"/>
    <w:rsid w:val="31717AB1"/>
    <w:rsid w:val="31F9354C"/>
    <w:rsid w:val="33640261"/>
    <w:rsid w:val="33840509"/>
    <w:rsid w:val="33BC1065"/>
    <w:rsid w:val="33CA5530"/>
    <w:rsid w:val="3518051D"/>
    <w:rsid w:val="352D221A"/>
    <w:rsid w:val="354C6BFF"/>
    <w:rsid w:val="3573634B"/>
    <w:rsid w:val="35A3072E"/>
    <w:rsid w:val="35EB3E83"/>
    <w:rsid w:val="361E626F"/>
    <w:rsid w:val="36B67FED"/>
    <w:rsid w:val="376D66D2"/>
    <w:rsid w:val="37995B82"/>
    <w:rsid w:val="38BA2E86"/>
    <w:rsid w:val="39292CF8"/>
    <w:rsid w:val="397F2B6A"/>
    <w:rsid w:val="398420CC"/>
    <w:rsid w:val="39BD1208"/>
    <w:rsid w:val="39D04655"/>
    <w:rsid w:val="39DA2245"/>
    <w:rsid w:val="3B7A19EB"/>
    <w:rsid w:val="3B950B19"/>
    <w:rsid w:val="3BAC1B96"/>
    <w:rsid w:val="3BDB4052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F4B8B"/>
    <w:rsid w:val="48546800"/>
    <w:rsid w:val="489D725F"/>
    <w:rsid w:val="48A8056F"/>
    <w:rsid w:val="48E47761"/>
    <w:rsid w:val="48F91BA7"/>
    <w:rsid w:val="49160B9F"/>
    <w:rsid w:val="49494C42"/>
    <w:rsid w:val="49C820BA"/>
    <w:rsid w:val="4A83667D"/>
    <w:rsid w:val="4A9542B5"/>
    <w:rsid w:val="4B5A5A42"/>
    <w:rsid w:val="4B920BD1"/>
    <w:rsid w:val="4C054E59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7A7D5A"/>
    <w:rsid w:val="51C27D36"/>
    <w:rsid w:val="527C1C93"/>
    <w:rsid w:val="52C579E6"/>
    <w:rsid w:val="53122466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3A6E11"/>
    <w:rsid w:val="5A751DEA"/>
    <w:rsid w:val="5A755946"/>
    <w:rsid w:val="5ABF18BC"/>
    <w:rsid w:val="5B2C6D7D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DE76C6"/>
    <w:rsid w:val="620677CB"/>
    <w:rsid w:val="624B4FC5"/>
    <w:rsid w:val="626F5370"/>
    <w:rsid w:val="62A50D92"/>
    <w:rsid w:val="632048BD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9116A62"/>
    <w:rsid w:val="69E42310"/>
    <w:rsid w:val="6B013226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E41683C"/>
    <w:rsid w:val="6EF410D7"/>
    <w:rsid w:val="6F0357BE"/>
    <w:rsid w:val="6F3338EC"/>
    <w:rsid w:val="6FA7614A"/>
    <w:rsid w:val="70785D38"/>
    <w:rsid w:val="70F941F5"/>
    <w:rsid w:val="711A7F1E"/>
    <w:rsid w:val="71461053"/>
    <w:rsid w:val="71E573FD"/>
    <w:rsid w:val="71EF237B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F80BED"/>
    <w:rsid w:val="762B2E39"/>
    <w:rsid w:val="762D259F"/>
    <w:rsid w:val="767D44EB"/>
    <w:rsid w:val="7690756A"/>
    <w:rsid w:val="76BE175B"/>
    <w:rsid w:val="7718505A"/>
    <w:rsid w:val="782A7918"/>
    <w:rsid w:val="784604CA"/>
    <w:rsid w:val="78774B38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DA138D1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4287</Words>
  <Characters>5426</Characters>
  <Lines>0</Lines>
  <Paragraphs>0</Paragraphs>
  <TotalTime>7</TotalTime>
  <ScaleCrop>false</ScaleCrop>
  <LinksUpToDate>false</LinksUpToDate>
  <CharactersWithSpaces>5782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2023-08-01T08:07:00Z</cp:lastPrinted>
  <dcterms:modified xsi:type="dcterms:W3CDTF">2023-08-04T01:08:07Z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D7952CA9FC48456687C89DFBEDA40070</vt:lpwstr>
  </property>
</Properties>
</file>